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Въпроси и отговори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Могат ли частни нефинансови компании да участват като фонд мениджъри на финансови инструменти?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Участници в процедурите на ФМФИБ за избор на фонд мениджъри на финансови инструменти (ФИ) могат да бъдат лица, които отговарят на специф</w:t>
      </w:r>
      <w:bookmarkStart w:id="0" w:name="_GoBack"/>
      <w:bookmarkEnd w:id="0"/>
      <w:r w:rsidRPr="002B1790">
        <w:rPr>
          <w:rFonts w:asciiTheme="minorHAnsi" w:hAnsiTheme="minorHAnsi" w:cstheme="minorHAnsi"/>
          <w:sz w:val="22"/>
          <w:szCs w:val="22"/>
          <w:lang w:val="bg-BG"/>
        </w:rPr>
        <w:t>ичните критерии за подбор на финансовите посредници, заложени в техническата спецификация за всеки отделен финансов инструмент.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В момента се провеждат пазарни консултации за финансов инструмент „Микрокредитиране със споделен риск“, като индикативната техническа спецификация за инструмента, включително информацията относно критериите за подбор на финансовите посредници, е публикувана на Интернет страница на ФМФИБ: http://www.fmfib.bg/bg/instruments.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 xml:space="preserve">В Приложение 1 към спецификацията на този ФИ е посочено, че потенциалният посредник следва да бъде търговска банка или финансова институция съгласно чл. 3а от Закона за кредитните институции, включително лизингова компания и </w:t>
      </w:r>
      <w:proofErr w:type="spellStart"/>
      <w:r w:rsidRPr="002B1790">
        <w:rPr>
          <w:rFonts w:asciiTheme="minorHAnsi" w:hAnsiTheme="minorHAnsi" w:cstheme="minorHAnsi"/>
          <w:sz w:val="22"/>
          <w:szCs w:val="22"/>
          <w:lang w:val="bg-BG"/>
        </w:rPr>
        <w:t>микрофинансираща</w:t>
      </w:r>
      <w:proofErr w:type="spellEnd"/>
      <w:r w:rsidRPr="002B1790">
        <w:rPr>
          <w:rFonts w:asciiTheme="minorHAnsi" w:hAnsiTheme="minorHAnsi" w:cstheme="minorHAnsi"/>
          <w:sz w:val="22"/>
          <w:szCs w:val="22"/>
          <w:lang w:val="bg-BG"/>
        </w:rPr>
        <w:t xml:space="preserve"> институция или обединение, в което поне един от участниците е такава институция.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Защо има два срока : във въпросника пише 29 Август 2016г., а в Техническата спецификация пише до 20 Септември 2016г. ?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Предложения и коментари по проекта на техническа спецификация могат да се изпращат в срок до 20 септември 2016 г. (включително) на следната електронна поща: MicrofinOPHRD@fmfib.bg. Във въпросника за провеждане на пазарни консултации също е уточнено, че крайният срок за изпращането му е 20 септември 2016 г. (включително).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 xml:space="preserve">Какви са критериите към крайните получатели за кандидатстване за </w:t>
      </w:r>
      <w:proofErr w:type="spellStart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микрофинансиране</w:t>
      </w:r>
      <w:proofErr w:type="spellEnd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?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Критериите за допустимост към крайните получатели са описани на стр. 17-19 в проекта на техническа спецификация за ФИ „Микрокредитиране със споделен риск“, публикувана на Интернет страница на ФМФИБ: http://www.fmfib.bg/bg/instruments.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 xml:space="preserve">Крайните получатели ще могат да кандидатстват за финансиране пред финансовите посредници (банки, лизингови компании, </w:t>
      </w:r>
      <w:proofErr w:type="spellStart"/>
      <w:r w:rsidRPr="002B1790">
        <w:rPr>
          <w:rFonts w:asciiTheme="minorHAnsi" w:hAnsiTheme="minorHAnsi" w:cstheme="minorHAnsi"/>
          <w:sz w:val="22"/>
          <w:szCs w:val="22"/>
          <w:lang w:val="bg-BG"/>
        </w:rPr>
        <w:t>микрофинансиращи</w:t>
      </w:r>
      <w:proofErr w:type="spellEnd"/>
      <w:r w:rsidRPr="002B1790">
        <w:rPr>
          <w:rFonts w:asciiTheme="minorHAnsi" w:hAnsiTheme="minorHAnsi" w:cstheme="minorHAnsi"/>
          <w:sz w:val="22"/>
          <w:szCs w:val="22"/>
          <w:lang w:val="bg-BG"/>
        </w:rPr>
        <w:t xml:space="preserve"> институции и др.), които ще бъдат избрани от ФМФИБ чрез тръжна процедура по реда на ЗОП.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Списъкът с избраните след тръжната процедура финансови посредници ще бъде публикуван на сайта на ФМФИБ.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Предлага ли ФМФИБ консултация и подробна информация за крайните получатели?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В рамките на пазарните консултации за подготовка на процедурата за избор на финансови посредници не се предвиждат срещи за консултации и/или предоставяне на информация на крайни получатели. Потенциалните крайни получатели ще имат възможност да получат подробна информация за предлаганите финансови продукти и изискванията за кандидатстване от финансовите посредници, които ще бъдат избрани от ФМФИБ.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 xml:space="preserve">Могат ли крайни получатели да кандидатстват за </w:t>
      </w:r>
      <w:proofErr w:type="spellStart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микрофинансиране</w:t>
      </w:r>
      <w:proofErr w:type="spellEnd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в сектор „Земеделие“ / производство на селскостопански продукти?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 xml:space="preserve">В Приложение 4 „Допустимост на дейности за финансиране с </w:t>
      </w:r>
      <w:proofErr w:type="spellStart"/>
      <w:r w:rsidRPr="002B1790">
        <w:rPr>
          <w:rFonts w:asciiTheme="minorHAnsi" w:hAnsiTheme="minorHAnsi" w:cstheme="minorHAnsi"/>
          <w:sz w:val="22"/>
          <w:szCs w:val="22"/>
          <w:lang w:val="bg-BG"/>
        </w:rPr>
        <w:t>Микрокредити</w:t>
      </w:r>
      <w:proofErr w:type="spellEnd"/>
      <w:r w:rsidRPr="002B1790">
        <w:rPr>
          <w:rFonts w:asciiTheme="minorHAnsi" w:hAnsiTheme="minorHAnsi" w:cstheme="minorHAnsi"/>
          <w:sz w:val="22"/>
          <w:szCs w:val="22"/>
          <w:lang w:val="bg-BG"/>
        </w:rPr>
        <w:t xml:space="preserve">“ от проекта на техническата спецификация е посочено, че в рамките на конкретния финансов инструмент не е </w:t>
      </w:r>
      <w:r w:rsidRPr="002B1790">
        <w:rPr>
          <w:rFonts w:asciiTheme="minorHAnsi" w:hAnsiTheme="minorHAnsi" w:cstheme="minorHAnsi"/>
          <w:sz w:val="22"/>
          <w:szCs w:val="22"/>
          <w:lang w:val="bg-BG"/>
        </w:rPr>
        <w:lastRenderedPageBreak/>
        <w:t>допустимо предоставянето на подкрепа за дейности в областта на първичното производство на селскостопански продукти.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 xml:space="preserve">В допълнение, чрез </w:t>
      </w:r>
      <w:proofErr w:type="spellStart"/>
      <w:r w:rsidRPr="002B1790">
        <w:rPr>
          <w:rFonts w:asciiTheme="minorHAnsi" w:hAnsiTheme="minorHAnsi" w:cstheme="minorHAnsi"/>
          <w:sz w:val="22"/>
          <w:szCs w:val="22"/>
          <w:lang w:val="bg-BG"/>
        </w:rPr>
        <w:t>Микрокредити</w:t>
      </w:r>
      <w:proofErr w:type="spellEnd"/>
      <w:r w:rsidRPr="002B1790">
        <w:rPr>
          <w:rFonts w:asciiTheme="minorHAnsi" w:hAnsiTheme="minorHAnsi" w:cstheme="minorHAnsi"/>
          <w:sz w:val="22"/>
          <w:szCs w:val="22"/>
          <w:lang w:val="bg-BG"/>
        </w:rPr>
        <w:t>, предоставени от този конкретен ФИ не следва да се финансират и дейности, свързани с преработката и търговията на тези продукти, ако са свързани с първата им продажба на прекупвачи и преработвателни (например жътвата, прибирането и вършитбата на зърнени храни или опаковането на яйца и др.). Приложимите ограничения са подобно описани в чл.1 на Регламент (ЕС) 1407/2013.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 xml:space="preserve">Ако Крайният получател работи освен в областта на първичното производство на селскостопански продукти, така и в някои от допустимите сектори или дейности съгласно Регламент (ЕС) № 1407/2013, тогава би могъл да ползва заеми по финансовия инструмент само за тези сектори/ дейности, при условие, че за тях се води отделна счетоводна отчетност, която да гарантира разделение на дейностите или разграничаване на разходите, както и че дейностите в изключените сектори не се ползват от помощ </w:t>
      </w:r>
      <w:proofErr w:type="spellStart"/>
      <w:r w:rsidRPr="002B1790">
        <w:rPr>
          <w:rFonts w:asciiTheme="minorHAnsi" w:hAnsiTheme="minorHAnsi" w:cstheme="minorHAnsi"/>
          <w:sz w:val="22"/>
          <w:szCs w:val="22"/>
          <w:lang w:val="bg-BG"/>
        </w:rPr>
        <w:t>de</w:t>
      </w:r>
      <w:proofErr w:type="spellEnd"/>
      <w:r w:rsidRPr="002B1790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proofErr w:type="spellStart"/>
      <w:r w:rsidRPr="002B1790">
        <w:rPr>
          <w:rFonts w:asciiTheme="minorHAnsi" w:hAnsiTheme="minorHAnsi" w:cstheme="minorHAnsi"/>
          <w:sz w:val="22"/>
          <w:szCs w:val="22"/>
          <w:lang w:val="bg-BG"/>
        </w:rPr>
        <w:t>minimis</w:t>
      </w:r>
      <w:proofErr w:type="spellEnd"/>
      <w:r w:rsidRPr="002B1790">
        <w:rPr>
          <w:rFonts w:asciiTheme="minorHAnsi" w:hAnsiTheme="minorHAnsi" w:cstheme="minorHAnsi"/>
          <w:sz w:val="22"/>
          <w:szCs w:val="22"/>
          <w:lang w:val="bg-BG"/>
        </w:rPr>
        <w:t xml:space="preserve"> (не се финансират с предоставения заем).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 xml:space="preserve">Финансовите инструменти стимулират ли инициативите на частните юридически лица за техни проекти генериращи приходи със способност за възвращаемост в рамките на 36 месеца. В нашият става въпрос за наш проект без аналог в </w:t>
      </w:r>
      <w:proofErr w:type="spellStart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ЕС,а</w:t>
      </w:r>
      <w:proofErr w:type="spellEnd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именно за „</w:t>
      </w:r>
      <w:proofErr w:type="spellStart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Многофунционална</w:t>
      </w:r>
      <w:proofErr w:type="spellEnd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автоматизирана инсталация за </w:t>
      </w:r>
      <w:proofErr w:type="spellStart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динамично,аеробно</w:t>
      </w:r>
      <w:proofErr w:type="spellEnd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 xml:space="preserve"> </w:t>
      </w:r>
      <w:proofErr w:type="spellStart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компостиране</w:t>
      </w:r>
      <w:proofErr w:type="spellEnd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на многокомпонентни </w:t>
      </w:r>
      <w:proofErr w:type="spellStart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биосмеси</w:t>
      </w:r>
      <w:proofErr w:type="spellEnd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в затворени системи с непрекъснат (24/365) режим на работа с опция за мобилни изпълнения за продукт (</w:t>
      </w:r>
      <w:proofErr w:type="spellStart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биокомпост</w:t>
      </w:r>
      <w:proofErr w:type="spellEnd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) приложим в земеделските почви с качество отговарящо на изискванията на Наредба приета с ПМС №235 от 15.10.2013.</w:t>
      </w:r>
    </w:p>
    <w:p w:rsid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Моля да имате предвид, че към момента се провеждат пазарни консултации за финансов инструмент „Микрокредитиране със споделен риск“ по Оперативна програма „Развитие на човешките ресурси" 2014-2020 г. Допустимите дейности за финансиране с този инструмент са посочени в Приложение 4 на индикативната техническа спецификация, публикувана на електронната страница на ФМФИБ ЕАД: (http://www.fmfib.bg/bg/instruments).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При стартиране на процеса на избор на финансови посредници за изпълнение на финансови инструменти по Оперативна програма „Околна среда“ 2014-2020 г., информацията за тях, включително и допустимите за финансиране дейности ще бъдат своевременно публикувани на електронната страница на ФМФИБ ЕАД.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Бихте ли ме информирали до кога се очаква да бъдат избрани финансовите посредници ?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В Приложение 3 от публикуваната индикативна техническа спецификация е представен индикативен график, който предвижда обявяване на процедурата за избор на финансови посредници през месец октомври-ноември 2016 г. Очаква се процедурата за избор да приключи в началото на 2017 г., след осъществяване на съответните действия по реда и в сроковете, регламентирани в Закона за обществените поръчки.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Ориентировъчно от кога до кога ще бъде времевият прозорец на програмата?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В раздел III, на стр. 7 от публикувана индикативна техническа спецификация е предоставена информация относно периодите на допустимост и инвестиране, приложими към финансовия инструмент „Микрокредитиране със споделяне на риска“ по Оперативна програма „Развитие на човешките ресурси“ 2014-2020 г.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Кандидатстването за подкрепа чрез финансовия инструмент „Микрокредитиране със споделяне на риска“ може да стартира незабавно след избора на финансов/и посредник/</w:t>
      </w:r>
      <w:proofErr w:type="spellStart"/>
      <w:r w:rsidRPr="002B1790">
        <w:rPr>
          <w:rFonts w:asciiTheme="minorHAnsi" w:hAnsiTheme="minorHAnsi" w:cstheme="minorHAnsi"/>
          <w:sz w:val="22"/>
          <w:szCs w:val="22"/>
          <w:lang w:val="bg-BG"/>
        </w:rPr>
        <w:t>ци</w:t>
      </w:r>
      <w:proofErr w:type="spellEnd"/>
      <w:r w:rsidRPr="002B1790">
        <w:rPr>
          <w:rFonts w:asciiTheme="minorHAnsi" w:hAnsiTheme="minorHAnsi" w:cstheme="minorHAnsi"/>
          <w:sz w:val="22"/>
          <w:szCs w:val="22"/>
          <w:lang w:val="bg-BG"/>
        </w:rPr>
        <w:t>. (моля виж отговор на въпрос 2).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lastRenderedPageBreak/>
        <w:t>Индикативният период на инвестиране е 31 декември 2021 г., като по преценка на ФМФИБ ЕАД, периодът за инвестиране може да бъде удължаван, най-късно до изтичане на периода на допустимост на средствата от Оперативна програма „Развитие на човешките ресурси“ 2014-2020 г., тоест до 31 декември 2023 г.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 xml:space="preserve">Как ще стоят нещата с </w:t>
      </w:r>
      <w:proofErr w:type="spellStart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обезпеченията</w:t>
      </w:r>
      <w:proofErr w:type="spellEnd"/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по заемите, защото в подобните проекти до момента посредниците имат не малки изисквания за обезпечение или поръчител?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 xml:space="preserve">В раздел IV, на стр. 19 от публикувана индикативна техническа спецификация е посочено, че структурата на </w:t>
      </w:r>
      <w:proofErr w:type="spellStart"/>
      <w:r w:rsidRPr="002B1790">
        <w:rPr>
          <w:rFonts w:asciiTheme="minorHAnsi" w:hAnsiTheme="minorHAnsi" w:cstheme="minorHAnsi"/>
          <w:sz w:val="22"/>
          <w:szCs w:val="22"/>
          <w:lang w:val="bg-BG"/>
        </w:rPr>
        <w:t>обезпеченията</w:t>
      </w:r>
      <w:proofErr w:type="spellEnd"/>
      <w:r w:rsidRPr="002B1790">
        <w:rPr>
          <w:rFonts w:asciiTheme="minorHAnsi" w:hAnsiTheme="minorHAnsi" w:cstheme="minorHAnsi"/>
          <w:sz w:val="22"/>
          <w:szCs w:val="22"/>
          <w:lang w:val="bg-BG"/>
        </w:rPr>
        <w:t xml:space="preserve"> се определя според кредитната политика на съответния финансов посредник.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proofErr w:type="spellStart"/>
      <w:r w:rsidRPr="002B1790">
        <w:rPr>
          <w:rFonts w:asciiTheme="minorHAnsi" w:hAnsiTheme="minorHAnsi" w:cstheme="minorHAnsi"/>
          <w:sz w:val="22"/>
          <w:szCs w:val="22"/>
          <w:lang w:val="bg-BG"/>
        </w:rPr>
        <w:t>Обезпеченията</w:t>
      </w:r>
      <w:proofErr w:type="spellEnd"/>
      <w:r w:rsidRPr="002B1790">
        <w:rPr>
          <w:rFonts w:asciiTheme="minorHAnsi" w:hAnsiTheme="minorHAnsi" w:cstheme="minorHAnsi"/>
          <w:sz w:val="22"/>
          <w:szCs w:val="22"/>
          <w:lang w:val="bg-BG"/>
        </w:rPr>
        <w:t xml:space="preserve"> и условията по тях следва да отразяват благоприятните условия на финансирането и поделянето на риска по заема с приноса от Оперативна програма „Развитие на човешките ресурси“ 2014-2020 г.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Кога може да се очаква стартиране на процедурата за микрокредитиране (прием на документи, окончателна документация и др.)?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В Приложение 3 от публикуваната индикативна техническа спецификация е представен индикативен график, който предвижда обявяване на процедурата за избор на финансови посредници в периода октомври-ноември 2016 г. Очаква се процедурата за избор да приключи в началото на 2017 г., след осъществяване на съответните действия по реда и в сроковете, регламентирани в Закона за обществените поръчки.</w:t>
      </w:r>
    </w:p>
    <w:p w:rsidR="002B1790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2B1790" w:rsidRPr="002B1790" w:rsidRDefault="002B1790" w:rsidP="002B1790">
      <w:pPr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b/>
          <w:sz w:val="22"/>
          <w:szCs w:val="22"/>
          <w:lang w:val="bg-BG"/>
        </w:rPr>
        <w:t>Допустимо ли е да кандидатства лице, което има две фирми, които не съществуват на пазара от повече от 24 месеца ?</w:t>
      </w:r>
    </w:p>
    <w:p w:rsidR="009F755D" w:rsidRPr="002B1790" w:rsidRDefault="002B1790" w:rsidP="002B1790">
      <w:pPr>
        <w:rPr>
          <w:rFonts w:asciiTheme="minorHAnsi" w:hAnsiTheme="minorHAnsi" w:cstheme="minorHAnsi"/>
          <w:sz w:val="22"/>
          <w:szCs w:val="22"/>
          <w:lang w:val="bg-BG"/>
        </w:rPr>
      </w:pPr>
      <w:r w:rsidRPr="002B1790">
        <w:rPr>
          <w:rFonts w:asciiTheme="minorHAnsi" w:hAnsiTheme="minorHAnsi" w:cstheme="minorHAnsi"/>
          <w:sz w:val="22"/>
          <w:szCs w:val="22"/>
          <w:lang w:val="bg-BG"/>
        </w:rPr>
        <w:t>Съдържанието на Индикативната техническа спецификация, включително и по отношение на Допустими крайни получатели са в процес на прецизиране и/ или преразглеждане в резултат на проведените Пазарни консултации за финансов инструмент „Микрокредитиране със споделен риск“. Окончателните условия по процедурата ще бъдат публикувани на електронната страница на ФМФИБ съгласно изискванията, заложени в Закона за обществените поръчки при стартиране на процедурата по избор на финансови посредници.</w:t>
      </w:r>
    </w:p>
    <w:sectPr w:rsidR="009F755D" w:rsidRPr="002B1790" w:rsidSect="009F755D">
      <w:headerReference w:type="first" r:id="rId6"/>
      <w:footerReference w:type="first" r:id="rId7"/>
      <w:pgSz w:w="11906" w:h="16838"/>
      <w:pgMar w:top="1418" w:right="851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2E" w:rsidRDefault="007C152E" w:rsidP="009F755D">
      <w:r>
        <w:separator/>
      </w:r>
    </w:p>
  </w:endnote>
  <w:endnote w:type="continuationSeparator" w:id="0">
    <w:p w:rsidR="007C152E" w:rsidRDefault="007C152E" w:rsidP="009F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30" w:rsidRDefault="008C5030" w:rsidP="008C5030">
    <w:pPr>
      <w:pStyle w:val="Footer"/>
      <w:tabs>
        <w:tab w:val="left" w:pos="7655"/>
      </w:tabs>
      <w:spacing w:line="288" w:lineRule="auto"/>
      <w:ind w:right="-142"/>
      <w:rPr>
        <w:rFonts w:cs="Arial"/>
        <w:color w:val="2F5496" w:themeColor="accent1" w:themeShade="BF"/>
        <w:sz w:val="16"/>
        <w:lang w:val="bg-BG"/>
      </w:rPr>
    </w:pPr>
    <w:r>
      <w:rPr>
        <w:rFonts w:cs="Arial"/>
        <w:noProof/>
        <w:color w:val="2F5496" w:themeColor="accent1" w:themeShade="BF"/>
        <w:sz w:val="16"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260475" wp14:editId="1D85C650">
              <wp:simplePos x="0" y="0"/>
              <wp:positionH relativeFrom="page">
                <wp:posOffset>864235</wp:posOffset>
              </wp:positionH>
              <wp:positionV relativeFrom="page">
                <wp:posOffset>10012680</wp:posOffset>
              </wp:positionV>
              <wp:extent cx="6350000" cy="0"/>
              <wp:effectExtent l="13335" t="17780" r="24765" b="20320"/>
              <wp:wrapTight wrapText="bothSides">
                <wp:wrapPolygon edited="0">
                  <wp:start x="-32" y="-2147483648"/>
                  <wp:lineTo x="0" y="-2147483648"/>
                  <wp:lineTo x="10815" y="-2147483648"/>
                  <wp:lineTo x="10815" y="-2147483648"/>
                  <wp:lineTo x="21568" y="-2147483648"/>
                  <wp:lineTo x="21665" y="-2147483648"/>
                  <wp:lineTo x="-32" y="-2147483648"/>
                </wp:wrapPolygon>
              </wp:wrapTight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AA744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788.4pt" to="568.05pt,7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" strokecolor="#1f3763 [1604]" strokeweight=".25pt">
              <w10:wrap type="tight" anchorx="page" anchory="page"/>
            </v:line>
          </w:pict>
        </mc:Fallback>
      </mc:AlternateContent>
    </w:r>
  </w:p>
  <w:p w:rsidR="008C5030" w:rsidRPr="00051651" w:rsidRDefault="008C5030" w:rsidP="008C5030">
    <w:pPr>
      <w:pStyle w:val="Footer"/>
      <w:ind w:right="-142"/>
      <w:rPr>
        <w:rFonts w:cs="Arial"/>
        <w:color w:val="2F5496" w:themeColor="accent1" w:themeShade="BF"/>
        <w:sz w:val="16"/>
        <w:lang w:val="en-US"/>
      </w:rPr>
    </w:pPr>
    <w:r w:rsidRPr="00051651">
      <w:rPr>
        <w:rFonts w:cs="Arial"/>
        <w:color w:val="2F5496" w:themeColor="accent1" w:themeShade="BF"/>
        <w:sz w:val="16"/>
      </w:rPr>
      <w:t xml:space="preserve">ФОНД НА ФОНДОВЕТЕ, </w:t>
    </w:r>
    <w:proofErr w:type="spellStart"/>
    <w:r w:rsidRPr="00051651">
      <w:rPr>
        <w:rFonts w:cs="Arial"/>
        <w:color w:val="2F5496" w:themeColor="accent1" w:themeShade="BF"/>
        <w:sz w:val="16"/>
      </w:rPr>
      <w:t>София</w:t>
    </w:r>
    <w:proofErr w:type="spellEnd"/>
    <w:r w:rsidRPr="00051651">
      <w:rPr>
        <w:rFonts w:cs="Arial"/>
        <w:color w:val="2F5496" w:themeColor="accent1" w:themeShade="BF"/>
        <w:sz w:val="16"/>
      </w:rPr>
      <w:t xml:space="preserve"> – 1606, </w:t>
    </w:r>
    <w:proofErr w:type="spellStart"/>
    <w:r w:rsidRPr="00051651">
      <w:rPr>
        <w:rFonts w:cs="Arial"/>
        <w:color w:val="2F5496" w:themeColor="accent1" w:themeShade="BF"/>
        <w:sz w:val="16"/>
      </w:rPr>
      <w:t>Бул</w:t>
    </w:r>
    <w:proofErr w:type="spellEnd"/>
    <w:r w:rsidRPr="00051651">
      <w:rPr>
        <w:rFonts w:cs="Arial"/>
        <w:color w:val="2F5496" w:themeColor="accent1" w:themeShade="BF"/>
        <w:sz w:val="16"/>
      </w:rPr>
      <w:t xml:space="preserve">. </w:t>
    </w:r>
    <w:proofErr w:type="spellStart"/>
    <w:r w:rsidRPr="00051651">
      <w:rPr>
        <w:rFonts w:cs="Arial"/>
        <w:color w:val="2F5496" w:themeColor="accent1" w:themeShade="BF"/>
        <w:sz w:val="16"/>
      </w:rPr>
      <w:t>Тотлебен</w:t>
    </w:r>
    <w:proofErr w:type="spellEnd"/>
    <w:r w:rsidRPr="00051651">
      <w:rPr>
        <w:rFonts w:cs="Arial"/>
        <w:color w:val="2F5496" w:themeColor="accent1" w:themeShade="BF"/>
        <w:sz w:val="16"/>
      </w:rPr>
      <w:t xml:space="preserve"> 30-32, </w:t>
    </w:r>
    <w:proofErr w:type="spellStart"/>
    <w:r w:rsidRPr="00051651">
      <w:rPr>
        <w:rFonts w:cs="Arial"/>
        <w:color w:val="2F5496" w:themeColor="accent1" w:themeShade="BF"/>
        <w:sz w:val="16"/>
        <w:lang w:val="fr-FR"/>
      </w:rPr>
      <w:t>Тел</w:t>
    </w:r>
    <w:proofErr w:type="spellEnd"/>
    <w:r w:rsidRPr="00051651">
      <w:rPr>
        <w:rFonts w:cs="Arial"/>
        <w:color w:val="2F5496" w:themeColor="accent1" w:themeShade="BF"/>
        <w:sz w:val="16"/>
        <w:lang w:val="fr-FR"/>
      </w:rPr>
      <w:t>. 02 801 40 50</w:t>
    </w:r>
    <w:r>
      <w:rPr>
        <w:rFonts w:cs="Arial"/>
        <w:color w:val="2F5496" w:themeColor="accent1" w:themeShade="BF"/>
        <w:sz w:val="16"/>
        <w:lang w:val="bg-BG"/>
      </w:rPr>
      <w:t xml:space="preserve">, </w:t>
    </w:r>
    <w:r w:rsidRPr="00680F31">
      <w:rPr>
        <w:rFonts w:cs="Arial"/>
        <w:color w:val="2F5496" w:themeColor="accent1" w:themeShade="BF"/>
        <w:sz w:val="16"/>
        <w:lang w:val="en-US"/>
      </w:rPr>
      <w:t>office@fmfib.bg</w:t>
    </w:r>
    <w:r>
      <w:rPr>
        <w:rFonts w:cs="Arial"/>
        <w:color w:val="2F5496" w:themeColor="accent1" w:themeShade="BF"/>
        <w:sz w:val="16"/>
        <w:lang w:val="bg-BG"/>
      </w:rPr>
      <w:t xml:space="preserve">, </w:t>
    </w:r>
    <w:r>
      <w:rPr>
        <w:rFonts w:cs="Arial"/>
        <w:color w:val="2F5496" w:themeColor="accent1" w:themeShade="BF"/>
        <w:sz w:val="16"/>
        <w:lang w:val="en-US"/>
      </w:rPr>
      <w:t>www.fmfib.bg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2E" w:rsidRDefault="007C152E" w:rsidP="009F755D">
      <w:r>
        <w:separator/>
      </w:r>
    </w:p>
  </w:footnote>
  <w:footnote w:type="continuationSeparator" w:id="0">
    <w:p w:rsidR="007C152E" w:rsidRDefault="007C152E" w:rsidP="009F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5D" w:rsidRPr="00231BD2" w:rsidRDefault="00F02A07" w:rsidP="009F755D">
    <w:pPr>
      <w:tabs>
        <w:tab w:val="right" w:pos="7314"/>
        <w:tab w:val="right" w:pos="7371"/>
        <w:tab w:val="left" w:pos="7655"/>
      </w:tabs>
      <w:ind w:right="-86"/>
    </w:pPr>
    <w:r>
      <w:rPr>
        <w:noProof/>
        <w:sz w:val="48"/>
        <w:lang w:val="bg-BG" w:eastAsia="bg-BG"/>
      </w:rPr>
      <w:drawing>
        <wp:anchor distT="0" distB="0" distL="114300" distR="114300" simplePos="0" relativeHeight="251671552" behindDoc="0" locked="0" layoutInCell="1" allowOverlap="1" wp14:anchorId="2D2E5E37" wp14:editId="66E13D98">
          <wp:simplePos x="0" y="0"/>
          <wp:positionH relativeFrom="column">
            <wp:posOffset>181610</wp:posOffset>
          </wp:positionH>
          <wp:positionV relativeFrom="paragraph">
            <wp:posOffset>-50165</wp:posOffset>
          </wp:positionV>
          <wp:extent cx="816610" cy="81661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ЕС_Социален-фонд_5_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9504" behindDoc="0" locked="1" layoutInCell="1" allowOverlap="0" wp14:anchorId="45FC7A9F" wp14:editId="01F90A8B">
          <wp:simplePos x="0" y="0"/>
          <wp:positionH relativeFrom="column">
            <wp:posOffset>4960620</wp:posOffset>
          </wp:positionH>
          <wp:positionV relativeFrom="page">
            <wp:posOffset>403225</wp:posOffset>
          </wp:positionV>
          <wp:extent cx="868680" cy="764540"/>
          <wp:effectExtent l="0" t="0" r="7620" b="0"/>
          <wp:wrapThrough wrapText="bothSides">
            <wp:wrapPolygon edited="0">
              <wp:start x="0" y="0"/>
              <wp:lineTo x="0" y="20990"/>
              <wp:lineTo x="21316" y="20990"/>
              <wp:lineTo x="21316" y="0"/>
              <wp:lineTo x="0" y="0"/>
            </wp:wrapPolygon>
          </wp:wrapThrough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ПРЧР-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55D" w:rsidRPr="00051651">
      <w:rPr>
        <w:noProof/>
        <w:lang w:val="bg-BG" w:eastAsia="bg-BG"/>
      </w:rPr>
      <w:drawing>
        <wp:anchor distT="0" distB="0" distL="114300" distR="114300" simplePos="0" relativeHeight="251659264" behindDoc="0" locked="1" layoutInCell="1" allowOverlap="0" wp14:anchorId="62159090" wp14:editId="7057D24E">
          <wp:simplePos x="0" y="0"/>
          <wp:positionH relativeFrom="column">
            <wp:posOffset>2021840</wp:posOffset>
          </wp:positionH>
          <wp:positionV relativeFrom="page">
            <wp:posOffset>444500</wp:posOffset>
          </wp:positionV>
          <wp:extent cx="2057400" cy="635000"/>
          <wp:effectExtent l="0" t="0" r="0" b="0"/>
          <wp:wrapSquare wrapText="bothSides"/>
          <wp:docPr id="29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F_BG_4C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755D" w:rsidRDefault="009F755D">
    <w:pPr>
      <w:pStyle w:val="Header"/>
    </w:pPr>
  </w:p>
  <w:p w:rsidR="009F755D" w:rsidRDefault="009F755D">
    <w:pPr>
      <w:pStyle w:val="Header"/>
    </w:pPr>
  </w:p>
  <w:p w:rsidR="009F755D" w:rsidRDefault="009F755D">
    <w:pPr>
      <w:pStyle w:val="Header"/>
    </w:pPr>
  </w:p>
  <w:p w:rsidR="009F755D" w:rsidRDefault="009F7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1E"/>
    <w:rsid w:val="0003562C"/>
    <w:rsid w:val="001B24E1"/>
    <w:rsid w:val="002B1790"/>
    <w:rsid w:val="003A441E"/>
    <w:rsid w:val="0068781E"/>
    <w:rsid w:val="007C152E"/>
    <w:rsid w:val="008C5030"/>
    <w:rsid w:val="00991B79"/>
    <w:rsid w:val="009F0ABF"/>
    <w:rsid w:val="009F755D"/>
    <w:rsid w:val="00B75EE5"/>
    <w:rsid w:val="00CD75B7"/>
    <w:rsid w:val="00EA4011"/>
    <w:rsid w:val="00F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B3BD93"/>
  <w15:chartTrackingRefBased/>
  <w15:docId w15:val="{E86442C2-7AAE-4DD5-AD70-E8033E47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755D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5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55D"/>
  </w:style>
  <w:style w:type="paragraph" w:styleId="Footer">
    <w:name w:val="footer"/>
    <w:basedOn w:val="Normal"/>
    <w:link w:val="FooterChar"/>
    <w:uiPriority w:val="99"/>
    <w:unhideWhenUsed/>
    <w:rsid w:val="009F75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55D"/>
  </w:style>
  <w:style w:type="table" w:customStyle="1" w:styleId="TableGrid1">
    <w:name w:val="Table Grid1"/>
    <w:basedOn w:val="TableNormal"/>
    <w:next w:val="TableGrid"/>
    <w:uiPriority w:val="59"/>
    <w:rsid w:val="009F755D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2017-02-21T11:51:00Z</dcterms:created>
  <dcterms:modified xsi:type="dcterms:W3CDTF">2017-03-01T11:08:00Z</dcterms:modified>
</cp:coreProperties>
</file>